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B" w:rsidRPr="008646FB" w:rsidRDefault="008646FB" w:rsidP="008646FB">
      <w:pPr>
        <w:jc w:val="center"/>
        <w:rPr>
          <w:rFonts w:ascii="Times New Roman" w:hAnsi="Times New Roman" w:cs="Times New Roman"/>
          <w:b/>
          <w:bCs/>
        </w:rPr>
      </w:pPr>
      <w:r w:rsidRPr="008646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FF251FA" wp14:editId="4E3FA768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B" w:rsidRPr="008646FB" w:rsidRDefault="008646FB" w:rsidP="008646FB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6FB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8646FB" w:rsidRPr="008646FB" w:rsidRDefault="008646FB" w:rsidP="008646FB">
      <w:pPr>
        <w:widowControl w:val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6FB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8646FB" w:rsidRPr="008646FB" w:rsidRDefault="008646FB" w:rsidP="008646FB">
      <w:pPr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46F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646FB" w:rsidRPr="008646FB" w:rsidRDefault="008646FB" w:rsidP="008646FB">
      <w:pPr>
        <w:widowControl w:val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6FB">
        <w:rPr>
          <w:rFonts w:ascii="Times New Roman" w:eastAsia="Calibri" w:hAnsi="Times New Roman" w:cs="Times New Roman"/>
          <w:sz w:val="28"/>
          <w:szCs w:val="28"/>
        </w:rPr>
        <w:t xml:space="preserve">от 05.12.2023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1587</w:t>
      </w:r>
    </w:p>
    <w:p w:rsidR="008646FB" w:rsidRPr="008646FB" w:rsidRDefault="008646FB" w:rsidP="008646FB">
      <w:pPr>
        <w:widowControl w:val="0"/>
        <w:jc w:val="center"/>
        <w:rPr>
          <w:rFonts w:ascii="Times New Roman" w:eastAsia="Calibri" w:hAnsi="Times New Roman" w:cs="Times New Roman"/>
        </w:rPr>
      </w:pPr>
      <w:r w:rsidRPr="008646FB">
        <w:rPr>
          <w:rFonts w:ascii="Times New Roman" w:eastAsia="Calibri" w:hAnsi="Times New Roman" w:cs="Times New Roman"/>
        </w:rPr>
        <w:t>г. Туапсе</w:t>
      </w: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545" w:rsidRDefault="00FB4545" w:rsidP="007373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контролю в области охраны и </w:t>
      </w:r>
      <w:proofErr w:type="gramStart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proofErr w:type="gramEnd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 в границах Туапсинского городского посел</w:t>
      </w:r>
      <w:r w:rsidR="0013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ения Туапсинского района на 202</w:t>
      </w:r>
      <w:r w:rsidR="005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005FDB" w:rsidRDefault="00005FDB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3B" w:rsidRDefault="004B0C3B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2C" w:rsidRDefault="00C0772C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DB" w:rsidRPr="00005FDB" w:rsidRDefault="00005FDB" w:rsidP="00005F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05FD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005FDB">
        <w:rPr>
          <w:rFonts w:ascii="Times New Roman" w:eastAsia="Calibri" w:hAnsi="Times New Roman" w:cs="Times New Roman"/>
          <w:sz w:val="28"/>
          <w:szCs w:val="28"/>
        </w:rPr>
        <w:t xml:space="preserve">В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соответствии  с  Федеральными  законами  от  06 октября   2003г.  №131-ФЗ  «Об общих принципах организации   местного   самоуправления   в Российской Федерации»,</w:t>
      </w:r>
      <w:r w:rsidR="00E20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от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ценностям", 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контролю в </w:t>
      </w:r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охраны и </w:t>
      </w:r>
      <w:proofErr w:type="gramStart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5B5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согласно п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(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Гаркуша Я.Ф.)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4B0C3B" w:rsidRDefault="004B0C3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Контроль   за  выполнением  настоящего постановления возложить на </w:t>
      </w:r>
      <w:r w:rsidR="00E206D3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E206D3">
        <w:rPr>
          <w:rFonts w:ascii="Times New Roman" w:eastAsia="Times New Roman" w:hAnsi="Times New Roman" w:cs="Times New Roman"/>
          <w:sz w:val="28"/>
          <w:szCs w:val="28"/>
        </w:rPr>
        <w:t>Чернышов</w:t>
      </w:r>
      <w:r w:rsidR="0027614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206D3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6D3" w:rsidRDefault="00E206D3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Pr="00005FDB" w:rsidRDefault="00E206D3" w:rsidP="00E206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005FDB" w:rsidRPr="00005FDB" w:rsidRDefault="00E206D3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005FDB"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5FDB" w:rsidRPr="00005FDB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23652" w:rsidRDefault="00005FDB" w:rsidP="00974D1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206D3">
        <w:rPr>
          <w:rFonts w:ascii="Times New Roman" w:eastAsia="Times New Roman" w:hAnsi="Times New Roman" w:cs="Times New Roman"/>
          <w:sz w:val="28"/>
          <w:szCs w:val="28"/>
        </w:rPr>
        <w:t xml:space="preserve">       А.В. </w:t>
      </w:r>
      <w:proofErr w:type="spellStart"/>
      <w:r w:rsidR="00E206D3">
        <w:rPr>
          <w:rFonts w:ascii="Times New Roman" w:eastAsia="Times New Roman" w:hAnsi="Times New Roman" w:cs="Times New Roman"/>
          <w:sz w:val="28"/>
          <w:szCs w:val="28"/>
        </w:rPr>
        <w:t>Береснев</w:t>
      </w:r>
      <w:proofErr w:type="spellEnd"/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62D" w:rsidRDefault="0013662D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0B2735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923652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1448D">
        <w:rPr>
          <w:rFonts w:ascii="Times New Roman" w:hAnsi="Times New Roman" w:cs="Times New Roman"/>
          <w:bCs/>
          <w:sz w:val="28"/>
          <w:szCs w:val="28"/>
        </w:rPr>
        <w:t>05.12.2023 г.</w:t>
      </w:r>
      <w:bookmarkStart w:id="0" w:name="_GoBack"/>
      <w:bookmarkEnd w:id="0"/>
      <w:r w:rsidRPr="000B273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448D">
        <w:rPr>
          <w:rFonts w:ascii="Times New Roman" w:hAnsi="Times New Roman" w:cs="Times New Roman"/>
          <w:bCs/>
          <w:sz w:val="28"/>
          <w:szCs w:val="28"/>
        </w:rPr>
        <w:t>1587</w:t>
      </w:r>
    </w:p>
    <w:p w:rsidR="000B2735" w:rsidRDefault="000B2735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F4884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870C9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в области охраны и </w:t>
      </w:r>
      <w:proofErr w:type="gramStart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использования</w:t>
      </w:r>
      <w:proofErr w:type="gramEnd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B58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5FDB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FDB" w:rsidRPr="000C097F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bookmarkStart w:id="1" w:name="Par94"/>
      <w:bookmarkEnd w:id="1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6F160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="006F16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870C96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gramEnd"/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70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территорий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законодательства в отношении </w:t>
      </w:r>
      <w:r w:rsidR="00870C96">
        <w:rPr>
          <w:rFonts w:ascii="Times New Roman" w:hAnsi="Times New Roman" w:cs="Times New Roman"/>
          <w:sz w:val="28"/>
          <w:szCs w:val="28"/>
        </w:rPr>
        <w:t>ООПТ</w:t>
      </w:r>
      <w:r w:rsidRPr="000C097F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муниципального контроля является переориентация контрольной деятельности на усиление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профилактической работы в отношении объектов контроля, обеспечивая приоритет проведения профилактики.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</w:t>
      </w:r>
      <w:r w:rsidR="005B586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B58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5B58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</w:t>
      </w:r>
      <w:r w:rsidR="005B5866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Администрации в 2024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5241FB" w:rsidRDefault="005241FB" w:rsidP="000B273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контроле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ООПТ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B42146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A59EA" w:rsidRPr="008A59EA">
        <w:rPr>
          <w:rFonts w:ascii="Times New Roman" w:eastAsia="Times New Roman" w:hAnsi="Times New Roman" w:cs="Times New Roman"/>
          <w:sz w:val="28"/>
          <w:lang w:eastAsia="ru-RU"/>
        </w:rPr>
        <w:t>) консультирование;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B42146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0D1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974D13" w:rsidRDefault="00974D13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2D" w:rsidRDefault="0013662D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7373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29" w:rsidRDefault="00693429" w:rsidP="000C097F">
      <w:pPr>
        <w:spacing w:after="0" w:line="240" w:lineRule="auto"/>
      </w:pPr>
      <w:r>
        <w:separator/>
      </w:r>
    </w:p>
  </w:endnote>
  <w:endnote w:type="continuationSeparator" w:id="0">
    <w:p w:rsidR="00693429" w:rsidRDefault="00693429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29" w:rsidRDefault="00693429" w:rsidP="000C097F">
      <w:pPr>
        <w:spacing w:after="0" w:line="240" w:lineRule="auto"/>
      </w:pPr>
      <w:r>
        <w:separator/>
      </w:r>
    </w:p>
  </w:footnote>
  <w:footnote w:type="continuationSeparator" w:id="0">
    <w:p w:rsidR="00693429" w:rsidRDefault="00693429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7625"/>
      <w:docPartObj>
        <w:docPartGallery w:val="Page Numbers (Top of Page)"/>
        <w:docPartUnique/>
      </w:docPartObj>
    </w:sdtPr>
    <w:sdtEndPr/>
    <w:sdtContent>
      <w:p w:rsidR="00FD3F63" w:rsidRDefault="00FD3F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8D">
          <w:rPr>
            <w:noProof/>
          </w:rPr>
          <w:t>3</w:t>
        </w:r>
        <w:r>
          <w:fldChar w:fldCharType="end"/>
        </w:r>
      </w:p>
    </w:sdtContent>
  </w:sdt>
  <w:p w:rsidR="00FD3F63" w:rsidRDefault="00FD3F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05FDB"/>
    <w:rsid w:val="000442A0"/>
    <w:rsid w:val="000B166B"/>
    <w:rsid w:val="000B2735"/>
    <w:rsid w:val="000C097F"/>
    <w:rsid w:val="000D17B3"/>
    <w:rsid w:val="000D327A"/>
    <w:rsid w:val="000E062B"/>
    <w:rsid w:val="0013662D"/>
    <w:rsid w:val="0014157C"/>
    <w:rsid w:val="00143101"/>
    <w:rsid w:val="00156AAD"/>
    <w:rsid w:val="00160A5B"/>
    <w:rsid w:val="00165602"/>
    <w:rsid w:val="001E5C2A"/>
    <w:rsid w:val="001F1E84"/>
    <w:rsid w:val="00237FDD"/>
    <w:rsid w:val="00250512"/>
    <w:rsid w:val="00276140"/>
    <w:rsid w:val="002A60E1"/>
    <w:rsid w:val="002B177C"/>
    <w:rsid w:val="002E095D"/>
    <w:rsid w:val="002E4304"/>
    <w:rsid w:val="002F2B91"/>
    <w:rsid w:val="00370A4C"/>
    <w:rsid w:val="00381CB8"/>
    <w:rsid w:val="003A1FBF"/>
    <w:rsid w:val="003A2EE9"/>
    <w:rsid w:val="003A7941"/>
    <w:rsid w:val="003B5428"/>
    <w:rsid w:val="003C2EE2"/>
    <w:rsid w:val="00464919"/>
    <w:rsid w:val="004A2AAD"/>
    <w:rsid w:val="004B0C3B"/>
    <w:rsid w:val="004C389D"/>
    <w:rsid w:val="00505A63"/>
    <w:rsid w:val="00520E15"/>
    <w:rsid w:val="005241FB"/>
    <w:rsid w:val="00537B09"/>
    <w:rsid w:val="005B5866"/>
    <w:rsid w:val="005F5DC9"/>
    <w:rsid w:val="006008B5"/>
    <w:rsid w:val="006138B9"/>
    <w:rsid w:val="00693429"/>
    <w:rsid w:val="00694BA2"/>
    <w:rsid w:val="006A0CA2"/>
    <w:rsid w:val="006D10DF"/>
    <w:rsid w:val="006D25DB"/>
    <w:rsid w:val="006E67F3"/>
    <w:rsid w:val="006F1602"/>
    <w:rsid w:val="00737356"/>
    <w:rsid w:val="00764164"/>
    <w:rsid w:val="0078099D"/>
    <w:rsid w:val="00783913"/>
    <w:rsid w:val="00786794"/>
    <w:rsid w:val="007E6C09"/>
    <w:rsid w:val="008317D8"/>
    <w:rsid w:val="00833FFF"/>
    <w:rsid w:val="008538EC"/>
    <w:rsid w:val="008646FB"/>
    <w:rsid w:val="00870C96"/>
    <w:rsid w:val="008A59EA"/>
    <w:rsid w:val="008E0BAE"/>
    <w:rsid w:val="00901288"/>
    <w:rsid w:val="009213AD"/>
    <w:rsid w:val="00923652"/>
    <w:rsid w:val="00965005"/>
    <w:rsid w:val="00971702"/>
    <w:rsid w:val="00974D13"/>
    <w:rsid w:val="00A1448D"/>
    <w:rsid w:val="00A23139"/>
    <w:rsid w:val="00A2333C"/>
    <w:rsid w:val="00A31AE6"/>
    <w:rsid w:val="00A95C8D"/>
    <w:rsid w:val="00AA4510"/>
    <w:rsid w:val="00AC0AB4"/>
    <w:rsid w:val="00AC34DD"/>
    <w:rsid w:val="00B42146"/>
    <w:rsid w:val="00B87C94"/>
    <w:rsid w:val="00B97095"/>
    <w:rsid w:val="00BA18CA"/>
    <w:rsid w:val="00BA3F8A"/>
    <w:rsid w:val="00BB22A1"/>
    <w:rsid w:val="00BF4F21"/>
    <w:rsid w:val="00BF6D44"/>
    <w:rsid w:val="00C03877"/>
    <w:rsid w:val="00C0772C"/>
    <w:rsid w:val="00C149BE"/>
    <w:rsid w:val="00C26CC5"/>
    <w:rsid w:val="00C4789A"/>
    <w:rsid w:val="00C54418"/>
    <w:rsid w:val="00CD2B1D"/>
    <w:rsid w:val="00D52EFF"/>
    <w:rsid w:val="00DE2989"/>
    <w:rsid w:val="00DF4884"/>
    <w:rsid w:val="00DF570B"/>
    <w:rsid w:val="00E02D83"/>
    <w:rsid w:val="00E206D3"/>
    <w:rsid w:val="00E35538"/>
    <w:rsid w:val="00E81A7C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61C0E"/>
    <w:rsid w:val="00FB4545"/>
    <w:rsid w:val="00FB587C"/>
    <w:rsid w:val="00FB70AA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Пользователь</cp:lastModifiedBy>
  <cp:revision>21</cp:revision>
  <cp:lastPrinted>2023-11-30T06:15:00Z</cp:lastPrinted>
  <dcterms:created xsi:type="dcterms:W3CDTF">2021-10-28T06:12:00Z</dcterms:created>
  <dcterms:modified xsi:type="dcterms:W3CDTF">2023-12-06T13:16:00Z</dcterms:modified>
</cp:coreProperties>
</file>