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17D" w:rsidRPr="003F717D" w:rsidRDefault="00BF7D0F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3F717D" w:rsidRPr="003F717D">
        <w:rPr>
          <w:rFonts w:ascii="Times New Roman" w:hAnsi="Times New Roman" w:cs="Times New Roman"/>
          <w:b/>
        </w:rPr>
        <w:t>Об утверждении стоимости услуг, предоставляемых согласно 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 и требования к их качеству на территории Туапсинского городского поселения Туапсинского района</w:t>
      </w:r>
      <w:proofErr w:type="gramEnd"/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3F717D" w:rsidRPr="003F717D">
        <w:rPr>
          <w:rFonts w:ascii="Times New Roman" w:hAnsi="Times New Roman" w:cs="Times New Roman"/>
          <w:sz w:val="24"/>
          <w:szCs w:val="24"/>
        </w:rPr>
        <w:t>02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7D">
        <w:rPr>
          <w:rFonts w:ascii="Times New Roman" w:hAnsi="Times New Roman" w:cs="Times New Roman"/>
          <w:sz w:val="24"/>
          <w:szCs w:val="24"/>
          <w:lang w:val="en-US"/>
        </w:rPr>
        <w:t>atdhfkz</w:t>
      </w:r>
      <w:proofErr w:type="spellEnd"/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3F71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758D">
        <w:rPr>
          <w:rFonts w:ascii="Times New Roman" w:hAnsi="Times New Roman" w:cs="Times New Roman"/>
          <w:sz w:val="24"/>
          <w:szCs w:val="24"/>
        </w:rPr>
        <w:t>2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AC758D">
        <w:rPr>
          <w:rFonts w:ascii="Times New Roman" w:hAnsi="Times New Roman" w:cs="Times New Roman"/>
          <w:sz w:val="24"/>
          <w:szCs w:val="24"/>
        </w:rPr>
        <w:t>февраля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EE69-EA9B-4014-8BDD-EF9E218D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207</cp:revision>
  <cp:lastPrinted>2023-12-22T11:22:00Z</cp:lastPrinted>
  <dcterms:created xsi:type="dcterms:W3CDTF">2018-07-03T12:29:00Z</dcterms:created>
  <dcterms:modified xsi:type="dcterms:W3CDTF">2024-02-13T09:29:00Z</dcterms:modified>
</cp:coreProperties>
</file>