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5332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A3567F" w:rsidRPr="00A3567F">
        <w:rPr>
          <w:rFonts w:ascii="Times New Roman" w:hAnsi="Times New Roman" w:cs="Times New Roman"/>
          <w:b/>
        </w:rPr>
        <w:t>Об утверждении административного регламента предоставления администрацией Туапсинского городского поселения Туапсинского района муниципальной услуги 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AD767D" w:rsidRPr="00AD767D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A3567F">
        <w:rPr>
          <w:rFonts w:ascii="Times New Roman" w:hAnsi="Times New Roman" w:cs="Times New Roman"/>
          <w:sz w:val="24"/>
          <w:szCs w:val="24"/>
        </w:rPr>
        <w:t>31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A3567F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A3567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D720-A41E-4941-B9E7-1F0ED457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146</cp:revision>
  <cp:lastPrinted>2022-12-10T08:31:00Z</cp:lastPrinted>
  <dcterms:created xsi:type="dcterms:W3CDTF">2018-07-03T12:29:00Z</dcterms:created>
  <dcterms:modified xsi:type="dcterms:W3CDTF">2022-12-10T08:44:00Z</dcterms:modified>
</cp:coreProperties>
</file>